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F4F1" w14:textId="77777777" w:rsidR="00BF30B6" w:rsidRDefault="00BF30B6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423FF4F2" w14:textId="77777777" w:rsidR="00BF30B6" w:rsidRDefault="00C06544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Closure report : Nom de l'entreprise</w:t>
      </w:r>
    </w:p>
    <w:p w14:paraId="423FF4F3" w14:textId="77777777" w:rsidR="00BF30B6" w:rsidRDefault="00C06544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>Date:</w:t>
      </w:r>
    </w:p>
    <w:p w14:paraId="423FF4F4" w14:textId="77777777" w:rsidR="00BF30B6" w:rsidRDefault="00C06544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 xml:space="preserve">Préparé par </w:t>
      </w:r>
    </w:p>
    <w:p w14:paraId="423FF4F5" w14:textId="77777777" w:rsidR="00BF30B6" w:rsidRDefault="00C065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Référence investisseurs :</w:t>
      </w:r>
    </w:p>
    <w:p w14:paraId="423FF4F6" w14:textId="77777777" w:rsidR="00BF30B6" w:rsidRDefault="00BF30B6">
      <w:pPr>
        <w:rPr>
          <w:rFonts w:ascii="Arial" w:hAnsi="Arial" w:cs="Arial"/>
          <w:sz w:val="20"/>
        </w:rPr>
      </w:pPr>
    </w:p>
    <w:p w14:paraId="423FF4F9" w14:textId="47CB5C77" w:rsidR="00BF30B6" w:rsidRPr="00C06544" w:rsidRDefault="00C065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8"/>
          <w:szCs w:val="18"/>
        </w:rPr>
        <w:t xml:space="preserve">Ce rapport donne un aperçu des circonstances entourant le prêt accordé à [Nom de l'entreprise] et des raisons de son incapacité à rembourser. Il vise à informer nos </w:t>
      </w:r>
      <w:r>
        <w:rPr>
          <w:rFonts w:ascii="Arial" w:hAnsi="Arial" w:cs="Arial"/>
          <w:color w:val="0070C0"/>
          <w:sz w:val="18"/>
          <w:szCs w:val="18"/>
        </w:rPr>
        <w:t>investisseurs sur la situation actuelle, les informations recueillies et les perspectives d'avenir.</w:t>
      </w:r>
    </w:p>
    <w:tbl>
      <w:tblPr>
        <w:tblpPr w:vertAnchor="text" w:horzAnchor="margin" w:tblpX="-714" w:tblpY="868"/>
        <w:tblW w:w="1055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550"/>
      </w:tblGrid>
      <w:tr w:rsidR="00BF30B6" w14:paraId="423FF4FC" w14:textId="77777777">
        <w:trPr>
          <w:cantSplit/>
          <w:trHeight w:val="300"/>
          <w:tblHeader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423FF4FA" w14:textId="77777777" w:rsidR="00BF30B6" w:rsidRDefault="00C06544">
            <w:pPr>
              <w:pStyle w:val="Kop3"/>
              <w:spacing w:before="40" w:after="40" w:line="240" w:lineRule="auto"/>
              <w:ind w:left="113" w:right="283"/>
              <w:rPr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color w:val="FFFFFF"/>
                <w:sz w:val="22"/>
                <w:szCs w:val="22"/>
                <w:lang w:eastAsia="en-GB" w:bidi="en-US"/>
              </w:rPr>
              <w:t>Section 1 : Détails du prêt</w:t>
            </w:r>
          </w:p>
          <w:p w14:paraId="423FF4FB" w14:textId="77777777" w:rsidR="00BF30B6" w:rsidRDefault="00BF30B6">
            <w:pPr>
              <w:rPr>
                <w:lang w:val="en-GB" w:eastAsia="en-GB" w:bidi="en-US"/>
              </w:rPr>
            </w:pPr>
          </w:p>
        </w:tc>
      </w:tr>
      <w:tr w:rsidR="00BF30B6" w14:paraId="423FF504" w14:textId="77777777">
        <w:trPr>
          <w:cantSplit/>
          <w:trHeight w:val="90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4FD" w14:textId="77777777" w:rsidR="00BF30B6" w:rsidRDefault="00C06544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Conditions de prêt initiales</w:t>
            </w:r>
          </w:p>
          <w:p w14:paraId="423FF4FE" w14:textId="77777777" w:rsidR="00BF30B6" w:rsidRDefault="00BF30B6">
            <w:pPr>
              <w:pStyle w:val="Lijstalinea"/>
              <w:spacing w:before="40" w:after="40"/>
              <w:ind w:left="47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423FF4FF" w14:textId="77777777" w:rsidR="00BF30B6" w:rsidRDefault="00C06544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  <w:t>Montant du prêt :</w:t>
            </w:r>
          </w:p>
          <w:p w14:paraId="423FF500" w14:textId="77777777" w:rsidR="00BF30B6" w:rsidRDefault="00C06544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  <w:t>Date du décaissement :</w:t>
            </w:r>
          </w:p>
          <w:p w14:paraId="423FF501" w14:textId="77777777" w:rsidR="00BF30B6" w:rsidRDefault="00C06544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  <w:t>Objet du prêt :</w:t>
            </w:r>
          </w:p>
          <w:p w14:paraId="423FF502" w14:textId="77777777" w:rsidR="00BF30B6" w:rsidRDefault="00C06544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  <w:t>Modalités de remboursement :</w:t>
            </w:r>
          </w:p>
          <w:p w14:paraId="423FF503" w14:textId="77777777" w:rsidR="00BF30B6" w:rsidRDefault="00BF30B6">
            <w:pPr>
              <w:pStyle w:val="Lijstalinea"/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BF30B6" w14:paraId="423FF509" w14:textId="77777777">
        <w:trPr>
          <w:cantSplit/>
          <w:trHeight w:val="90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05" w14:textId="77777777" w:rsidR="00BF30B6" w:rsidRDefault="00C06544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Ententes et conditions les plus récentes</w:t>
            </w:r>
          </w:p>
          <w:p w14:paraId="423FF506" w14:textId="77777777" w:rsidR="00BF30B6" w:rsidRDefault="00BF30B6">
            <w:pPr>
              <w:pStyle w:val="Lijstalinea"/>
              <w:spacing w:before="40" w:after="40"/>
              <w:ind w:left="47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423FF507" w14:textId="77777777" w:rsidR="00BF30B6" w:rsidRDefault="00C06544">
            <w:pPr>
              <w:pStyle w:val="paragraph"/>
              <w:numPr>
                <w:ilvl w:val="0"/>
                <w:numId w:val="4"/>
              </w:numPr>
              <w:spacing w:beforeAutospacing="0" w:afterAutospacing="0"/>
              <w:ind w:right="105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Modalités de remboursement :</w:t>
            </w:r>
          </w:p>
          <w:p w14:paraId="423FF508" w14:textId="77777777" w:rsidR="00BF30B6" w:rsidRDefault="00BF30B6">
            <w:pPr>
              <w:pStyle w:val="paragraph"/>
              <w:spacing w:beforeAutospacing="0" w:afterAutospacing="0"/>
              <w:ind w:left="720" w:right="105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BF30B6" w14:paraId="423FF50B" w14:textId="77777777">
        <w:trPr>
          <w:cantSplit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3FF50A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Section 2 : Aperçu du rendement de l'entreprise</w:t>
            </w:r>
          </w:p>
        </w:tc>
      </w:tr>
      <w:tr w:rsidR="00BF30B6" w14:paraId="423FF513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F50C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2.1. Qu'est-ce qui n'a pas fonctionné ?</w:t>
            </w:r>
          </w:p>
          <w:p w14:paraId="423FF50D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  <w:p w14:paraId="423FF50E" w14:textId="77777777" w:rsidR="00BF30B6" w:rsidRDefault="00C06544">
            <w:pPr>
              <w:pStyle w:val="Lijstalinea"/>
              <w:numPr>
                <w:ilvl w:val="0"/>
                <w:numId w:val="3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[Résumer les raisons du non-remboursement]</w:t>
            </w:r>
          </w:p>
          <w:p w14:paraId="423FF50F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Malchance : [Décrivez tout facteur externe qui a </w:t>
            </w:r>
            <w:r>
              <w:rPr>
                <w:lang w:eastAsia="en-GB"/>
              </w:rPr>
              <w:t>eu un impact négatif sur l'entreprise, par exemple, les catastrophes naturelles, les conditions du marché]</w:t>
            </w:r>
          </w:p>
          <w:p w14:paraId="423FF510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Questions de gestion : [Discuter de tout défi interne, comme une mauvaise prise de décisions ou une inefficacité opérationnelle]</w:t>
            </w:r>
          </w:p>
          <w:p w14:paraId="423FF511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Fausses déclarations</w:t>
            </w:r>
            <w:r>
              <w:rPr>
                <w:lang w:eastAsia="en-GB"/>
              </w:rPr>
              <w:t xml:space="preserve"> : [S'il y a lieu, expliquer les cas où l'entreprise a pu fournir des renseignements trompeurs]</w:t>
            </w:r>
          </w:p>
          <w:p w14:paraId="423FF512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BF30B6" w14:paraId="423FF519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F514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2.2. Utilisation des fonds du prêt</w:t>
            </w:r>
          </w:p>
          <w:p w14:paraId="423FF515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423FF516" w14:textId="77777777" w:rsidR="00BF30B6" w:rsidRDefault="00C06544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[Détaillez comment le prêt a été utilisé]</w:t>
            </w:r>
          </w:p>
          <w:p w14:paraId="423FF517" w14:textId="77777777" w:rsidR="00BF30B6" w:rsidRDefault="00C06544">
            <w:pPr>
              <w:pStyle w:val="Lijstalinea"/>
              <w:numPr>
                <w:ilvl w:val="1"/>
                <w:numId w:val="3"/>
              </w:numPr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[Énumérez les dépenses précises et indiquez si elles correspondent à l'objectif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initial]</w:t>
            </w:r>
          </w:p>
          <w:p w14:paraId="3B6F50B6" w14:textId="77777777" w:rsidR="00BF30B6" w:rsidRDefault="00C06544">
            <w:pPr>
              <w:pStyle w:val="Lijstalinea"/>
              <w:numPr>
                <w:ilvl w:val="1"/>
                <w:numId w:val="3"/>
              </w:numPr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[Discuter des projets qui ont été lancés ou terminés avec les fonds]</w:t>
            </w:r>
          </w:p>
          <w:p w14:paraId="545FD384" w14:textId="77777777" w:rsidR="00C06544" w:rsidRDefault="00C06544" w:rsidP="00C06544">
            <w:pPr>
              <w:pStyle w:val="Lijstalinea"/>
              <w:ind w:left="1440"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  <w:p w14:paraId="423FF518" w14:textId="70AA67DF" w:rsidR="00C06544" w:rsidRDefault="00C06544" w:rsidP="00C06544">
            <w:pPr>
              <w:pStyle w:val="Lijstalinea"/>
              <w:ind w:left="1440"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BF30B6" w14:paraId="423FF521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F51A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2.3. Analyse d'impact</w:t>
            </w:r>
          </w:p>
          <w:p w14:paraId="423FF51B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423FF51C" w14:textId="77777777" w:rsidR="00BF30B6" w:rsidRPr="00C06544" w:rsidRDefault="00C0654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nl-BE" w:eastAsia="en-GB"/>
              </w:rPr>
            </w:pPr>
            <w:r w:rsidRPr="00C06544">
              <w:rPr>
                <w:rFonts w:ascii="Arial" w:hAnsi="Arial" w:cs="Arial"/>
                <w:sz w:val="20"/>
                <w:lang w:val="nl-BE" w:eastAsia="en-GB"/>
              </w:rPr>
              <w:t>[Évaluer le résultat de l'investissement]</w:t>
            </w:r>
          </w:p>
          <w:p w14:paraId="423FF51D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  <w:lang w:val="fr-FR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en-GB"/>
              </w:rPr>
              <w:t xml:space="preserve">Impacts positifs (le cas échéant): [Décrivez les réussites ou les avantages réalisés pendant la période du </w:t>
            </w:r>
            <w:r>
              <w:rPr>
                <w:rFonts w:ascii="Arial" w:hAnsi="Arial" w:cs="Arial"/>
                <w:sz w:val="20"/>
                <w:szCs w:val="20"/>
                <w:lang w:val="fr-FR" w:eastAsia="en-GB"/>
              </w:rPr>
              <w:t>prêt]</w:t>
            </w:r>
          </w:p>
          <w:p w14:paraId="423FF51E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color w:val="231F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Impacts négatifs : [Discuter des résultats négatifs, comme les pertes d'emplois ou les fermetures d'activités]</w:t>
            </w:r>
          </w:p>
          <w:p w14:paraId="423FF51F" w14:textId="77777777" w:rsidR="00BF30B6" w:rsidRDefault="00BF30B6">
            <w:pPr>
              <w:pStyle w:val="Geenafstand"/>
              <w:ind w:left="1440"/>
              <w:rPr>
                <w:color w:val="231F20"/>
                <w:szCs w:val="20"/>
                <w:shd w:val="clear" w:color="auto" w:fill="FFFFFF"/>
                <w:lang w:eastAsia="en-GB"/>
              </w:rPr>
            </w:pPr>
          </w:p>
          <w:p w14:paraId="423FF520" w14:textId="77777777" w:rsidR="00BF30B6" w:rsidRDefault="00BF30B6">
            <w:pPr>
              <w:pStyle w:val="Geenafstand"/>
              <w:ind w:left="1440"/>
              <w:rPr>
                <w:color w:val="231F20"/>
                <w:szCs w:val="20"/>
                <w:shd w:val="clear" w:color="auto" w:fill="FFFFFF"/>
                <w:lang w:eastAsia="en-GB"/>
              </w:rPr>
            </w:pPr>
          </w:p>
        </w:tc>
      </w:tr>
      <w:tr w:rsidR="00BF30B6" w14:paraId="423FF523" w14:textId="77777777">
        <w:trPr>
          <w:cantSplit/>
          <w:trHeight w:val="32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3FF522" w14:textId="77777777" w:rsidR="00BF30B6" w:rsidRDefault="00C06544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lastRenderedPageBreak/>
              <w:t>Section 3 : Prochaines étapes</w:t>
            </w:r>
          </w:p>
        </w:tc>
      </w:tr>
      <w:tr w:rsidR="00BF30B6" w14:paraId="423FF52D" w14:textId="77777777">
        <w:trPr>
          <w:cantSplit/>
          <w:trHeight w:val="32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24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3.1. Prochaines mesures à l'appui de la résolution</w:t>
            </w:r>
          </w:p>
          <w:p w14:paraId="423FF525" w14:textId="77777777" w:rsidR="00BF30B6" w:rsidRDefault="00BF30B6">
            <w:pPr>
              <w:pStyle w:val="Geenafstand"/>
              <w:ind w:left="720"/>
              <w:rPr>
                <w:rFonts w:ascii="Arial" w:hAnsi="Arial" w:cs="Arial"/>
                <w:sz w:val="20"/>
                <w:lang w:eastAsia="en-GB"/>
              </w:rPr>
            </w:pPr>
          </w:p>
          <w:p w14:paraId="423FF526" w14:textId="77777777" w:rsidR="00BF30B6" w:rsidRDefault="00C0654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Résumez les prochaines actions qui seront prises</w:t>
            </w:r>
          </w:p>
          <w:p w14:paraId="423FF527" w14:textId="77777777" w:rsidR="00BF30B6" w:rsidRDefault="00BF30B6">
            <w:pPr>
              <w:pStyle w:val="Geenafstand"/>
              <w:ind w:left="720"/>
              <w:rPr>
                <w:rFonts w:ascii="Arial" w:hAnsi="Arial" w:cs="Arial"/>
                <w:sz w:val="20"/>
                <w:lang w:eastAsia="en-GB"/>
              </w:rPr>
            </w:pPr>
          </w:p>
          <w:p w14:paraId="423FF528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Recouvrement d'actifs : Actions visant à liquider des actifs de l'entreprise ou d'autres ressources tangibles afin de récupérer le montant du prêt.</w:t>
            </w:r>
          </w:p>
          <w:p w14:paraId="423FF529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Plans de remboursement : Stratégies potentielles pour l'entrepreneur ou l'entreprise pour rembourser le prêt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par d'autres moyens, tels que des paiements échelonnés sur les salaires ou les bénéfices.</w:t>
            </w:r>
          </w:p>
          <w:p w14:paraId="423FF52A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  <w:t>Étapes juridiques ou de médiation : Étapes permettant d'engager des processus juridiques ou de médiation pour assurer un rétablissement partiel ou complet.</w:t>
            </w:r>
          </w:p>
          <w:p w14:paraId="423FF52B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  <w:t xml:space="preserve">Suivi et </w:t>
            </w:r>
            <w:r>
              <w:rPr>
                <w:rFonts w:ascii="Arial" w:hAnsi="Arial" w:cs="Arial"/>
                <w:color w:val="231F20"/>
                <w:sz w:val="20"/>
                <w:shd w:val="clear" w:color="auto" w:fill="FFFFFF"/>
                <w:lang w:eastAsia="en-GB"/>
              </w:rPr>
              <w:t>surveillance : Plans pour suivre les progrès et assurer la conformité aux ententes de remboursement ou aux efforts de recouvrement.</w:t>
            </w:r>
          </w:p>
          <w:p w14:paraId="423FF52C" w14:textId="77777777" w:rsidR="00BF30B6" w:rsidRDefault="00BF30B6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</w:pPr>
          </w:p>
        </w:tc>
      </w:tr>
      <w:tr w:rsidR="00BF30B6" w14:paraId="423FF52F" w14:textId="77777777">
        <w:trPr>
          <w:cantSplit/>
          <w:trHeight w:val="32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3FF52E" w14:textId="77777777" w:rsidR="00BF30B6" w:rsidRDefault="00C06544">
            <w:pPr>
              <w:ind w:right="113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GB" w:bidi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 w:bidi="en-US"/>
              </w:rPr>
              <w:t>Section 4 : Leçons apprises</w:t>
            </w:r>
          </w:p>
        </w:tc>
      </w:tr>
      <w:tr w:rsidR="00BF30B6" w14:paraId="423FF536" w14:textId="77777777">
        <w:trPr>
          <w:cantSplit/>
          <w:trHeight w:val="32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30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4.1. Enseignements tirés de l'investissement</w:t>
            </w:r>
          </w:p>
          <w:p w14:paraId="423FF531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423FF532" w14:textId="77777777" w:rsidR="00BF30B6" w:rsidRPr="00C06544" w:rsidRDefault="00C0654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nl-BE" w:eastAsia="en-GB"/>
              </w:rPr>
            </w:pPr>
            <w:r w:rsidRPr="00C06544">
              <w:rPr>
                <w:rFonts w:ascii="Arial" w:hAnsi="Arial" w:cs="Arial"/>
                <w:sz w:val="20"/>
                <w:lang w:val="nl-BE" w:eastAsia="en-GB"/>
              </w:rPr>
              <w:t>[Évaluer le résultat de l'investissement]</w:t>
            </w:r>
          </w:p>
          <w:p w14:paraId="423FF533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Impacts positifs (le cas échéant) : [Décrivez les réussites ou les avantages réalisés pendant la période du prêt]</w:t>
            </w:r>
          </w:p>
          <w:p w14:paraId="423FF534" w14:textId="77777777" w:rsidR="00BF30B6" w:rsidRDefault="00C06544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Impacts négatifs : [Discuter des résultats négatifs, comme les pertes d'emplois ou les fermetures d'activités]</w:t>
            </w:r>
          </w:p>
          <w:p w14:paraId="423FF535" w14:textId="77777777" w:rsidR="00BF30B6" w:rsidRDefault="00BF30B6">
            <w:pPr>
              <w:pStyle w:val="Geenafstand"/>
              <w:ind w:left="1440"/>
              <w:rPr>
                <w:color w:val="231F20"/>
                <w:szCs w:val="20"/>
                <w:shd w:val="clear" w:color="auto" w:fill="FFFFFF"/>
                <w:lang w:eastAsia="en-GB"/>
              </w:rPr>
            </w:pPr>
          </w:p>
        </w:tc>
      </w:tr>
      <w:tr w:rsidR="00BF30B6" w:rsidRPr="00C06544" w14:paraId="423FF538" w14:textId="77777777">
        <w:trPr>
          <w:cantSplit/>
          <w:trHeight w:val="32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3FF537" w14:textId="77777777" w:rsidR="00BF30B6" w:rsidRPr="00C06544" w:rsidRDefault="00C06544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val="nl-BE" w:eastAsia="en-GB"/>
              </w:rPr>
            </w:pPr>
            <w:r w:rsidRPr="00C06544">
              <w:rPr>
                <w:rFonts w:ascii="Arial" w:hAnsi="Arial" w:cs="Arial"/>
                <w:b/>
                <w:color w:val="FFFFFF"/>
                <w:sz w:val="22"/>
                <w:szCs w:val="22"/>
                <w:lang w:val="nl-BE" w:eastAsia="en-GB" w:bidi="en-US"/>
              </w:rPr>
              <w:t xml:space="preserve">Section 5 : Point de vue de </w:t>
            </w:r>
            <w:r w:rsidRPr="00C06544">
              <w:rPr>
                <w:rFonts w:ascii="Arial" w:hAnsi="Arial" w:cs="Arial"/>
                <w:b/>
                <w:color w:val="FFFFFF"/>
                <w:sz w:val="22"/>
                <w:szCs w:val="22"/>
                <w:lang w:val="nl-BE" w:eastAsia="en-GB" w:bidi="en-US"/>
              </w:rPr>
              <w:t>l'entrepreneur</w:t>
            </w:r>
          </w:p>
        </w:tc>
      </w:tr>
      <w:tr w:rsidR="00BF30B6" w14:paraId="423FF53F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39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5.1. Perspectives d'avenir</w:t>
            </w:r>
          </w:p>
          <w:p w14:paraId="423FF53A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423FF53B" w14:textId="77777777" w:rsidR="00BF30B6" w:rsidRDefault="00C06544">
            <w:pPr>
              <w:pStyle w:val="Lijstalinea"/>
              <w:numPr>
                <w:ilvl w:val="0"/>
                <w:numId w:val="3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[Fournir des informations de l'entrepreneur sur les projets futurs]</w:t>
            </w:r>
          </w:p>
          <w:p w14:paraId="423FF53C" w14:textId="77777777" w:rsidR="00BF30B6" w:rsidRDefault="00C06544">
            <w:pPr>
              <w:pStyle w:val="Lijstalinea"/>
              <w:numPr>
                <w:ilvl w:val="1"/>
                <w:numId w:val="3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[Discutez de leur situation actuelle et de toute stratégie proposée pour le rétablissement ou la fermeture]</w:t>
            </w:r>
          </w:p>
          <w:p w14:paraId="423FF53D" w14:textId="77777777" w:rsidR="00BF30B6" w:rsidRDefault="00C06544">
            <w:pPr>
              <w:pStyle w:val="Lijstalinea"/>
              <w:numPr>
                <w:ilvl w:val="1"/>
                <w:numId w:val="3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[Inclure tout plan visant à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rechercher des fonds supplémentaires ou à restructurer l'entreprise]</w:t>
            </w:r>
          </w:p>
          <w:p w14:paraId="423FF53E" w14:textId="77777777" w:rsidR="00BF30B6" w:rsidRDefault="00BF30B6">
            <w:pPr>
              <w:pStyle w:val="Lijstalinea"/>
              <w:spacing w:before="40" w:after="40"/>
              <w:ind w:left="1440"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BF30B6" w14:paraId="423FF545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40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5.2. Réflexions sur l'investissement</w:t>
            </w:r>
          </w:p>
          <w:p w14:paraId="423FF541" w14:textId="77777777" w:rsidR="00BF30B6" w:rsidRDefault="00C06544">
            <w:pPr>
              <w:pStyle w:val="Normaalweb"/>
              <w:numPr>
                <w:ilvl w:val="0"/>
                <w:numId w:val="3"/>
              </w:numPr>
              <w:spacing w:before="280"/>
              <w:rPr>
                <w:rFonts w:ascii="Arial" w:hAnsi="Arial" w:cs="Arial"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[Résumer les réflexions de l'entrepreneur sur le processus d'investissement et sa relation avec OVO]</w:t>
            </w:r>
          </w:p>
          <w:p w14:paraId="423FF542" w14:textId="77777777" w:rsidR="00BF30B6" w:rsidRDefault="00C06544">
            <w:pPr>
              <w:pStyle w:val="Normaalweb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[Qu'ont-ils appris ?]</w:t>
            </w:r>
          </w:p>
          <w:p w14:paraId="423FF543" w14:textId="77777777" w:rsidR="00BF30B6" w:rsidRDefault="00C06544">
            <w:pPr>
              <w:pStyle w:val="Normaalweb"/>
              <w:numPr>
                <w:ilvl w:val="1"/>
                <w:numId w:val="3"/>
              </w:numPr>
              <w:spacing w:after="280"/>
              <w:rPr>
                <w:rFonts w:ascii="Arial" w:hAnsi="Arial" w:cs="Arial"/>
                <w:color w:val="000000"/>
                <w:sz w:val="20"/>
                <w:szCs w:val="27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[Comment voient-ils leur</w:t>
            </w:r>
            <w:r>
              <w:rPr>
                <w:rFonts w:ascii="Arial" w:hAnsi="Arial" w:cs="Arial"/>
                <w:color w:val="000000"/>
                <w:sz w:val="20"/>
                <w:szCs w:val="27"/>
              </w:rPr>
              <w:t xml:space="preserve"> partenariat avec les investisseurs à l'avenir ?]</w:t>
            </w:r>
          </w:p>
          <w:p w14:paraId="423FF544" w14:textId="77777777" w:rsidR="00BF30B6" w:rsidRDefault="00BF30B6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</w:p>
        </w:tc>
      </w:tr>
      <w:tr w:rsidR="00BF30B6" w14:paraId="423FF547" w14:textId="77777777">
        <w:trPr>
          <w:cantSplit/>
          <w:trHeight w:val="213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3FF546" w14:textId="77777777" w:rsidR="00BF30B6" w:rsidRDefault="00C06544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 xml:space="preserve">Section 6 : Conclusion </w:t>
            </w:r>
          </w:p>
        </w:tc>
      </w:tr>
      <w:tr w:rsidR="00BF30B6" w14:paraId="423FF54B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48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3FF549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résumé, bien que cet investissement n'ait pas généré le rendement financier souhaité, il a fourni des informations précieuses et des opportunités d'apprentissage pour OVO et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nos investisseurs. Nous restons déterminés à améliorer nos processus et à veiller à ce que les investissements futurs fassent l'objet d'un examen plus approfondi.</w:t>
            </w:r>
          </w:p>
          <w:p w14:paraId="423FF54A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F30B6" w14:paraId="423FF54D" w14:textId="77777777">
        <w:trPr>
          <w:cantSplit/>
          <w:trHeight w:val="24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3FF54C" w14:textId="77777777" w:rsidR="00BF30B6" w:rsidRDefault="00C06544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Section 7 : Déclaration de défaut (facultatif)</w:t>
            </w:r>
          </w:p>
        </w:tc>
      </w:tr>
      <w:tr w:rsidR="00BF30B6" w14:paraId="423FF551" w14:textId="77777777">
        <w:trPr>
          <w:cantSplit/>
          <w:trHeight w:val="1417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FF54E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3FF54F" w14:textId="77777777" w:rsidR="00BF30B6" w:rsidRDefault="00C06544">
            <w:pPr>
              <w:spacing w:before="40" w:after="40"/>
              <w:ind w:right="113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Compte tenu du déroulement des événements entourant , OVO [nom de l'entreprise] a déterminé que le projet est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officiellement en défaut. Après une évaluation approfondie, il est clair qu'aucune autre action ne peut ou ne sera prise par OVO pour récupérer 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fonds restants. Le BOV a rempli son rôle d'intermédiaire dans ce dossier, et nous devons maintenant conclure notre implication. Toutefois, les investisseurs conservent le droit d'explorer d'autres voies ou d'engager des procédures judiciaires de manière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indépendante s'ils le souhaitent.</w:t>
            </w:r>
          </w:p>
          <w:p w14:paraId="423FF550" w14:textId="77777777" w:rsidR="00BF30B6" w:rsidRDefault="00BF30B6">
            <w:pPr>
              <w:spacing w:before="40" w:after="40"/>
              <w:ind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3FF552" w14:textId="77777777" w:rsidR="00BF30B6" w:rsidRDefault="00BF30B6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w14:paraId="423FF553" w14:textId="77777777" w:rsidR="00BF30B6" w:rsidRDefault="00BF30B6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w14:paraId="423FF55A" w14:textId="6EB7D379" w:rsidR="00BF30B6" w:rsidRDefault="00BF30B6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7"/>
        </w:rPr>
      </w:pPr>
      <w:bookmarkStart w:id="0" w:name="_GoBack"/>
      <w:bookmarkEnd w:id="0"/>
    </w:p>
    <w:p w14:paraId="423FF55B" w14:textId="77777777" w:rsidR="00BF30B6" w:rsidRDefault="00C06544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7"/>
        </w:rPr>
      </w:pPr>
      <w:r>
        <w:rPr>
          <w:rFonts w:ascii="Arial" w:hAnsi="Arial" w:cs="Arial"/>
          <w:color w:val="000000"/>
          <w:sz w:val="20"/>
          <w:szCs w:val="27"/>
        </w:rPr>
        <w:t>Pour toute autre question ou discussion concernant ce rapport, veuillez contacter :</w:t>
      </w:r>
    </w:p>
    <w:p w14:paraId="423FF55C" w14:textId="77777777" w:rsidR="00BF30B6" w:rsidRDefault="00C06544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7"/>
        </w:rPr>
      </w:pPr>
      <w:r>
        <w:rPr>
          <w:rFonts w:ascii="Arial" w:hAnsi="Arial" w:cs="Arial"/>
          <w:color w:val="000000"/>
          <w:sz w:val="20"/>
          <w:szCs w:val="27"/>
        </w:rPr>
        <w:t>Nom : [Votre nom]</w:t>
      </w:r>
    </w:p>
    <w:p w14:paraId="423FF55D" w14:textId="77777777" w:rsidR="00BF30B6" w:rsidRDefault="00C06544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7"/>
        </w:rPr>
      </w:pPr>
      <w:r>
        <w:rPr>
          <w:rFonts w:ascii="Arial" w:hAnsi="Arial" w:cs="Arial"/>
          <w:color w:val="000000"/>
          <w:sz w:val="20"/>
          <w:szCs w:val="27"/>
        </w:rPr>
        <w:t>Fonction : [Votre fonction]</w:t>
      </w:r>
    </w:p>
    <w:p w14:paraId="423FF55E" w14:textId="77777777" w:rsidR="00BF30B6" w:rsidRDefault="00C06544">
      <w:pPr>
        <w:pStyle w:val="Normaalweb"/>
        <w:spacing w:before="280" w:after="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Courriel : [Votre courriel]</w:t>
      </w:r>
    </w:p>
    <w:sectPr w:rsidR="00BF30B6">
      <w:headerReference w:type="default" r:id="rId10"/>
      <w:pgSz w:w="12240" w:h="15840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F565" w14:textId="77777777" w:rsidR="00000000" w:rsidRDefault="00C06544">
      <w:r>
        <w:separator/>
      </w:r>
    </w:p>
  </w:endnote>
  <w:endnote w:type="continuationSeparator" w:id="0">
    <w:p w14:paraId="423FF567" w14:textId="77777777" w:rsidR="00000000" w:rsidRDefault="00C0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FF561" w14:textId="77777777" w:rsidR="00000000" w:rsidRDefault="00C06544">
      <w:r>
        <w:separator/>
      </w:r>
    </w:p>
  </w:footnote>
  <w:footnote w:type="continuationSeparator" w:id="0">
    <w:p w14:paraId="423FF563" w14:textId="77777777" w:rsidR="00000000" w:rsidRDefault="00C0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F55F" w14:textId="77777777" w:rsidR="00BF30B6" w:rsidRDefault="00C06544">
    <w:pPr>
      <w:pStyle w:val="Koptekst"/>
    </w:pPr>
    <w:r>
      <w:rPr>
        <w:noProof/>
      </w:rPr>
      <w:drawing>
        <wp:anchor distT="0" distB="0" distL="0" distR="0" simplePos="0" relativeHeight="4" behindDoc="1" locked="0" layoutInCell="1" allowOverlap="1" wp14:anchorId="423FF561" wp14:editId="423FF562">
          <wp:simplePos x="0" y="0"/>
          <wp:positionH relativeFrom="column">
            <wp:posOffset>-423545</wp:posOffset>
          </wp:positionH>
          <wp:positionV relativeFrom="paragraph">
            <wp:posOffset>-154305</wp:posOffset>
          </wp:positionV>
          <wp:extent cx="2028825" cy="597535"/>
          <wp:effectExtent l="0" t="0" r="0" b="0"/>
          <wp:wrapNone/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3FF560" w14:textId="77777777" w:rsidR="00BF30B6" w:rsidRDefault="00BF30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6E8"/>
    <w:multiLevelType w:val="multilevel"/>
    <w:tmpl w:val="3B3247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31299"/>
    <w:multiLevelType w:val="multilevel"/>
    <w:tmpl w:val="4462B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40A79"/>
    <w:multiLevelType w:val="multilevel"/>
    <w:tmpl w:val="E438F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04" w:hanging="1800"/>
      </w:pPr>
    </w:lvl>
  </w:abstractNum>
  <w:abstractNum w:abstractNumId="3" w15:restartNumberingAfterBreak="0">
    <w:nsid w:val="2B744B34"/>
    <w:multiLevelType w:val="multilevel"/>
    <w:tmpl w:val="89145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782F70"/>
    <w:multiLevelType w:val="multilevel"/>
    <w:tmpl w:val="16505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B6"/>
    <w:rsid w:val="00BF30B6"/>
    <w:rsid w:val="00C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F4F1"/>
  <w15:docId w15:val="{998BEC53-7FEC-4764-BC41-CC66990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2FE2"/>
    <w:rPr>
      <w:rFonts w:ascii="Times New Roman" w:eastAsia="Times New Roman" w:hAnsi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5B2FE2"/>
    <w:pPr>
      <w:keepNext/>
      <w:keepLines/>
      <w:spacing w:before="80" w:after="80" w:line="23" w:lineRule="atLeast"/>
      <w:outlineLvl w:val="2"/>
    </w:pPr>
    <w:rPr>
      <w:rFonts w:ascii="Arial" w:hAnsi="Arial" w:cs="Arial"/>
      <w:b/>
      <w:color w:val="5B9BD5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qFormat/>
    <w:rsid w:val="005B2FE2"/>
    <w:rPr>
      <w:rFonts w:ascii="Arial" w:eastAsia="Times New Roman" w:hAnsi="Arial" w:cs="Arial"/>
      <w:b/>
      <w:color w:val="5B9BD5"/>
      <w:sz w:val="28"/>
      <w:szCs w:val="28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5B2FE2"/>
    <w:rPr>
      <w:rFonts w:ascii="Times New Roman" w:eastAsia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5B2FE2"/>
    <w:rPr>
      <w:rFonts w:ascii="Times New Roman" w:eastAsia="Times New Roman" w:hAnsi="Times New Roman" w:cs="Times New Roman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5B2FE2"/>
    <w:rPr>
      <w:rFonts w:eastAsiaTheme="minorEastAsia"/>
    </w:rPr>
  </w:style>
  <w:style w:type="character" w:customStyle="1" w:styleId="normaltextrun">
    <w:name w:val="normaltextrun"/>
    <w:basedOn w:val="Standaardalinea-lettertype"/>
    <w:qFormat/>
    <w:rsid w:val="005B2FE2"/>
  </w:style>
  <w:style w:type="character" w:customStyle="1" w:styleId="eop">
    <w:name w:val="eop"/>
    <w:basedOn w:val="Standaardalinea-lettertype"/>
    <w:qFormat/>
    <w:rsid w:val="005B2FE2"/>
  </w:style>
  <w:style w:type="paragraph" w:customStyle="1" w:styleId="Titre">
    <w:name w:val="Titre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5B2FE2"/>
    <w:pPr>
      <w:tabs>
        <w:tab w:val="center" w:pos="4703"/>
        <w:tab w:val="right" w:pos="9406"/>
      </w:tabs>
    </w:pPr>
  </w:style>
  <w:style w:type="paragraph" w:customStyle="1" w:styleId="paragraph">
    <w:name w:val="paragraph"/>
    <w:basedOn w:val="Standaard"/>
    <w:qFormat/>
    <w:rsid w:val="005B2FE2"/>
    <w:pPr>
      <w:spacing w:beforeAutospacing="1" w:afterAutospacing="1"/>
    </w:pPr>
  </w:style>
  <w:style w:type="paragraph" w:styleId="Lijstalinea">
    <w:name w:val="List Paragraph"/>
    <w:basedOn w:val="Standaard"/>
    <w:uiPriority w:val="34"/>
    <w:qFormat/>
    <w:rsid w:val="005B2FE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5B2FE2"/>
    <w:pPr>
      <w:tabs>
        <w:tab w:val="center" w:pos="4703"/>
        <w:tab w:val="right" w:pos="9406"/>
      </w:tabs>
    </w:pPr>
  </w:style>
  <w:style w:type="paragraph" w:styleId="Geenafstand">
    <w:name w:val="No Spacing"/>
    <w:link w:val="GeenafstandChar"/>
    <w:uiPriority w:val="1"/>
    <w:qFormat/>
    <w:rsid w:val="005B2FE2"/>
    <w:rPr>
      <w:rFonts w:ascii="Calibri" w:eastAsiaTheme="minorEastAsia" w:hAnsi="Calibri"/>
    </w:rPr>
  </w:style>
  <w:style w:type="paragraph" w:styleId="Normaalweb">
    <w:name w:val="Normal (Web)"/>
    <w:basedOn w:val="Standaard"/>
    <w:uiPriority w:val="99"/>
    <w:unhideWhenUsed/>
    <w:qFormat/>
    <w:rsid w:val="00E843C1"/>
    <w:pPr>
      <w:spacing w:beforeAutospacing="1" w:afterAutospacing="1"/>
    </w:pPr>
  </w:style>
  <w:style w:type="paragraph" w:customStyle="1" w:styleId="Contenudecadre">
    <w:name w:val="Contenu de cadre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9" ma:contentTypeDescription="Een nieuw document maken." ma:contentTypeScope="" ma:versionID="e38525cf8e523ff272d9ddfc0caff39b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f01ad58beb1e044381c374d412a60dff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387eb5-fe1c-4dcc-b662-8740979a8ed9}" ma:internalName="TaxCatchAll" ma:showField="CatchAllData" ma:web="440fc843-942f-4135-a8d7-78977e267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49ece-fe1b-4e7c-ad2f-7365d2081e24">
      <Terms xmlns="http://schemas.microsoft.com/office/infopath/2007/PartnerControls"/>
    </lcf76f155ced4ddcb4097134ff3c332f>
    <TaxCatchAll xmlns="440fc843-942f-4135-a8d7-78977e26795f" xsi:nil="true"/>
    <SharedWithUsers xmlns="440fc843-942f-4135-a8d7-78977e26795f">
      <UserInfo>
        <DisplayName/>
        <AccountId xsi:nil="true"/>
        <AccountType/>
      </UserInfo>
    </SharedWithUsers>
    <_Flow_SignoffStatus xmlns="b3149ece-fe1b-4e7c-ad2f-7365d2081e24" xsi:nil="true"/>
  </documentManagement>
</p:properties>
</file>

<file path=customXml/itemProps1.xml><?xml version="1.0" encoding="utf-8"?>
<ds:datastoreItem xmlns:ds="http://schemas.openxmlformats.org/officeDocument/2006/customXml" ds:itemID="{8AEC6680-E3D5-49B3-93BA-71FD161241A4}"/>
</file>

<file path=customXml/itemProps2.xml><?xml version="1.0" encoding="utf-8"?>
<ds:datastoreItem xmlns:ds="http://schemas.openxmlformats.org/officeDocument/2006/customXml" ds:itemID="{122B5BCD-EF20-4E1F-BCE7-5AEA842FF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CE207-D2C0-4EDD-BE81-449A41E0318A}">
  <ds:schemaRefs>
    <ds:schemaRef ds:uri="http://purl.org/dc/terms/"/>
    <ds:schemaRef ds:uri="http://www.w3.org/XML/1998/namespace"/>
    <ds:schemaRef ds:uri="http://schemas.microsoft.com/office/2006/documentManagement/types"/>
    <ds:schemaRef ds:uri="9e2a1c2f-8f1f-46d4-8303-b6db0a5bc617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e7de6fb-16df-4f1e-be2b-bea7a5f9eb2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Boyen</dc:creator>
  <dc:description/>
  <cp:lastModifiedBy>Matyas Boyen</cp:lastModifiedBy>
  <cp:revision>2</cp:revision>
  <dcterms:created xsi:type="dcterms:W3CDTF">2025-01-23T15:21:00Z</dcterms:created>
  <dcterms:modified xsi:type="dcterms:W3CDTF">2025-01-23T15:21:00Z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0x010100D91DBE7692826E40B09398B6827A1ECC</vt:lpwstr>
  </property>
  <property fmtid="{D5CDD505-2E9C-101B-9397-08002B2CF9AE}" pid="4" name="MediaServiceImageTags">
    <vt:lpwstr/>
  </property>
  <property fmtid="{D5CDD505-2E9C-101B-9397-08002B2CF9AE}" pid="5" name="Order">
    <vt:r8>850000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